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D5863" w14:textId="196F8590" w:rsidR="00262E43" w:rsidRPr="00F92636" w:rsidRDefault="00262E43" w:rsidP="00262E43">
      <w:pPr>
        <w:tabs>
          <w:tab w:val="num" w:pos="432"/>
        </w:tabs>
        <w:suppressAutoHyphens/>
        <w:spacing w:before="280" w:after="28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36"/>
          <w:szCs w:val="36"/>
          <w:u w:val="single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1"/>
          <w:sz w:val="36"/>
          <w:szCs w:val="36"/>
          <w:u w:val="single"/>
          <w:lang w:eastAsia="ar-SA"/>
          <w14:ligatures w14:val="none"/>
        </w:rPr>
        <w:t xml:space="preserve"> </w:t>
      </w:r>
      <w:r w:rsidRPr="00F92636">
        <w:rPr>
          <w:rFonts w:ascii="Times New Roman" w:eastAsia="Times New Roman" w:hAnsi="Times New Roman" w:cs="Times New Roman"/>
          <w:b/>
          <w:bCs/>
          <w:kern w:val="1"/>
          <w:sz w:val="36"/>
          <w:szCs w:val="36"/>
          <w:u w:val="single"/>
          <w:lang w:eastAsia="ar-SA"/>
          <w14:ligatures w14:val="none"/>
        </w:rPr>
        <w:t xml:space="preserve"> </w:t>
      </w:r>
      <w:proofErr w:type="gramStart"/>
      <w:r w:rsidRPr="00F92636">
        <w:rPr>
          <w:rFonts w:ascii="Times New Roman" w:eastAsia="Times New Roman" w:hAnsi="Times New Roman" w:cs="Times New Roman"/>
          <w:b/>
          <w:bCs/>
          <w:kern w:val="1"/>
          <w:sz w:val="36"/>
          <w:szCs w:val="36"/>
          <w:u w:val="single"/>
          <w:lang w:eastAsia="ar-SA"/>
          <w14:ligatures w14:val="none"/>
        </w:rPr>
        <w:t>Závěrečný  účet</w:t>
      </w:r>
      <w:proofErr w:type="gramEnd"/>
      <w:r w:rsidRPr="00F92636">
        <w:rPr>
          <w:rFonts w:ascii="Times New Roman" w:eastAsia="Times New Roman" w:hAnsi="Times New Roman" w:cs="Times New Roman"/>
          <w:b/>
          <w:bCs/>
          <w:kern w:val="1"/>
          <w:sz w:val="36"/>
          <w:szCs w:val="36"/>
          <w:u w:val="single"/>
          <w:lang w:eastAsia="ar-SA"/>
          <w14:ligatures w14:val="none"/>
        </w:rPr>
        <w:t xml:space="preserve">  za rok 202</w:t>
      </w:r>
      <w:r>
        <w:rPr>
          <w:rFonts w:ascii="Times New Roman" w:eastAsia="Times New Roman" w:hAnsi="Times New Roman" w:cs="Times New Roman"/>
          <w:b/>
          <w:bCs/>
          <w:kern w:val="1"/>
          <w:sz w:val="36"/>
          <w:szCs w:val="36"/>
          <w:u w:val="single"/>
          <w:lang w:eastAsia="ar-SA"/>
          <w14:ligatures w14:val="none"/>
        </w:rPr>
        <w:t>5</w:t>
      </w:r>
    </w:p>
    <w:p w14:paraId="5694AA93" w14:textId="77777777" w:rsidR="00262E43" w:rsidRPr="00F92636" w:rsidRDefault="00262E43" w:rsidP="00262E43">
      <w:pPr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/zpracovaný na základě § 17 zákona č. 250/2000 Sb., o rozpočtových pravidlech územních rozpočtů, ve znění platných předpisů/</w:t>
      </w:r>
    </w:p>
    <w:p w14:paraId="2060B6BA" w14:textId="77777777" w:rsidR="00262E43" w:rsidRPr="00F92636" w:rsidRDefault="00262E43" w:rsidP="00262E4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Údaje o </w:t>
      </w:r>
      <w:proofErr w:type="gramStart"/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obci :</w:t>
      </w:r>
      <w:proofErr w:type="gramEnd"/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</w:t>
      </w: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  <w:t xml:space="preserve">Obec Žďárec, 594 56 Žďárec č. 42, okres  Brno – venkov,  </w:t>
      </w:r>
    </w:p>
    <w:p w14:paraId="394EB192" w14:textId="77777777" w:rsidR="00262E43" w:rsidRPr="00F92636" w:rsidRDefault="00262E43" w:rsidP="00262E4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proofErr w:type="gramStart"/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IČ:  </w:t>
      </w: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proofErr w:type="gramEnd"/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  <w:t>00295833</w:t>
      </w:r>
    </w:p>
    <w:p w14:paraId="1AFF0A21" w14:textId="77777777" w:rsidR="00262E43" w:rsidRPr="00F92636" w:rsidRDefault="00262E43" w:rsidP="00262E4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Telefon: </w:t>
      </w: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  <w:t>549 440 425</w:t>
      </w:r>
    </w:p>
    <w:p w14:paraId="45345088" w14:textId="77777777" w:rsidR="00262E43" w:rsidRPr="00F92636" w:rsidRDefault="00262E43" w:rsidP="00262E4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Banka:</w:t>
      </w: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  <w:t xml:space="preserve">KB Tišnov, </w:t>
      </w:r>
      <w:proofErr w:type="spellStart"/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č.ú</w:t>
      </w:r>
      <w:proofErr w:type="spellEnd"/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.  5022751/0100, ČNB: 94-15210641/0710</w:t>
      </w:r>
    </w:p>
    <w:p w14:paraId="03024242" w14:textId="77777777" w:rsidR="00262E43" w:rsidRPr="00F92636" w:rsidRDefault="00262E43" w:rsidP="00262E4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e-mail:</w:t>
      </w: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hyperlink r:id="rId5" w:history="1">
        <w:r w:rsidRPr="00F92636">
          <w:rPr>
            <w:rFonts w:ascii="Times New Roman" w:eastAsia="Times New Roman" w:hAnsi="Times New Roman" w:cs="Times New Roman"/>
            <w:b/>
            <w:color w:val="0000FF"/>
            <w:kern w:val="0"/>
            <w:sz w:val="24"/>
            <w:szCs w:val="24"/>
            <w:u w:val="single"/>
            <w:lang w:eastAsia="ar-SA"/>
            <w14:ligatures w14:val="none"/>
          </w:rPr>
          <w:t>info@obec-zdarec.cz</w:t>
        </w:r>
      </w:hyperlink>
    </w:p>
    <w:p w14:paraId="08B49115" w14:textId="77777777" w:rsidR="00262E43" w:rsidRPr="00F92636" w:rsidRDefault="00262E43" w:rsidP="00262E4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webové stránky: </w:t>
      </w: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hyperlink r:id="rId6" w:history="1">
        <w:r w:rsidRPr="00F92636">
          <w:rPr>
            <w:rFonts w:ascii="Times New Roman" w:eastAsia="Times New Roman" w:hAnsi="Times New Roman" w:cs="Times New Roman"/>
            <w:b/>
            <w:color w:val="0000FF"/>
            <w:kern w:val="0"/>
            <w:sz w:val="24"/>
            <w:szCs w:val="24"/>
            <w:u w:val="single"/>
            <w:lang w:eastAsia="ar-SA"/>
            <w14:ligatures w14:val="none"/>
          </w:rPr>
          <w:t>www.obec-zdarec.cz</w:t>
        </w:r>
      </w:hyperlink>
    </w:p>
    <w:p w14:paraId="122E8177" w14:textId="77777777" w:rsidR="00262E43" w:rsidRPr="00F92636" w:rsidRDefault="00262E43" w:rsidP="00262E4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počet obyvatel k 31.12.202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5</w:t>
      </w: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: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385</w:t>
      </w:r>
    </w:p>
    <w:p w14:paraId="1D296A7F" w14:textId="77777777" w:rsidR="00262E43" w:rsidRPr="00F92636" w:rsidRDefault="00262E43" w:rsidP="00262E4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starosta obce:</w:t>
      </w: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  <w:t xml:space="preserve">Jindřich </w:t>
      </w:r>
      <w:proofErr w:type="spellStart"/>
      <w:proofErr w:type="gramStart"/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Mühlhansl</w:t>
      </w:r>
      <w:proofErr w:type="spellEnd"/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,   </w:t>
      </w:r>
      <w:proofErr w:type="gramEnd"/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Zastupitelstvo obce má stále  7 členů             </w:t>
      </w:r>
    </w:p>
    <w:p w14:paraId="58E73E2C" w14:textId="77777777" w:rsidR="00262E43" w:rsidRPr="00F92636" w:rsidRDefault="00262E43" w:rsidP="00262E4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Obec </w:t>
      </w:r>
      <w:proofErr w:type="gramStart"/>
      <w:r w:rsidRPr="00F926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Žďárec  je</w:t>
      </w:r>
      <w:proofErr w:type="gramEnd"/>
      <w:r w:rsidRPr="00F926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 členem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Společenství </w:t>
      </w:r>
      <w:r w:rsidRPr="00F926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obcí Tišnovsko, kraj Jihomoravský  a   </w:t>
      </w:r>
      <w:proofErr w:type="spellStart"/>
      <w:r w:rsidRPr="00F926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SVaK</w:t>
      </w:r>
      <w:proofErr w:type="spellEnd"/>
      <w:r w:rsidRPr="00F926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 Žďársko,  Žďár nad Sázavou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,</w:t>
      </w:r>
      <w:r w:rsidRPr="00F926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kraj Vysočina                                                             </w:t>
      </w:r>
    </w:p>
    <w:p w14:paraId="3A4910BD" w14:textId="77777777" w:rsidR="00262E43" w:rsidRPr="00F92636" w:rsidRDefault="00262E43" w:rsidP="00262E43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Zpracování agendy úřadu: 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Veškerá agenda úřadu je počítačově zpracována programem </w:t>
      </w:r>
      <w:proofErr w:type="spellStart"/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Triada</w:t>
      </w:r>
      <w:proofErr w:type="spellEnd"/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MUNIS   Praha.</w:t>
      </w:r>
    </w:p>
    <w:p w14:paraId="2013F04A" w14:textId="77777777" w:rsidR="00262E43" w:rsidRPr="00F92636" w:rsidRDefault="00262E43" w:rsidP="00262E43">
      <w:pPr>
        <w:numPr>
          <w:ilvl w:val="0"/>
          <w:numId w:val="3"/>
        </w:numPr>
        <w:suppressAutoHyphens/>
        <w:spacing w:before="280" w:after="28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ar-SA"/>
          <w14:ligatures w14:val="none"/>
        </w:rPr>
        <w:t>Vyúčtování finančních prostředků ke státnímu rozpočtu, ostatním rozpočtům kraje a dotace poskytnuté</w:t>
      </w:r>
      <w:r w:rsidRPr="00F92636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ar-SA"/>
          <w14:ligatures w14:val="none"/>
        </w:rPr>
        <w:tab/>
      </w:r>
      <w:r w:rsidRPr="00F92636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ar-SA"/>
          <w14:ligatures w14:val="none"/>
        </w:rPr>
        <w:tab/>
      </w:r>
      <w:r w:rsidRPr="00F92636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ar-SA"/>
          <w14:ligatures w14:val="none"/>
        </w:rPr>
        <w:tab/>
      </w:r>
      <w:r w:rsidRPr="00F92636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ar-SA"/>
          <w14:ligatures w14:val="none"/>
        </w:rPr>
        <w:tab/>
      </w:r>
      <w:r w:rsidRPr="00F92636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ar-SA"/>
          <w14:ligatures w14:val="none"/>
        </w:rPr>
        <w:tab/>
        <w:t xml:space="preserve">          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Rozpis přijatých dotací a jejich čerpání v průběhu roku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5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je zpracován 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 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tabulce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 v 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Kč.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proofErr w:type="gramEnd"/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Dotace byly řádně vyúčtovány.</w:t>
      </w:r>
    </w:p>
    <w:tbl>
      <w:tblPr>
        <w:tblW w:w="9954" w:type="dxa"/>
        <w:tblInd w:w="-8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4"/>
        <w:gridCol w:w="787"/>
        <w:gridCol w:w="1575"/>
        <w:gridCol w:w="953"/>
        <w:gridCol w:w="1620"/>
        <w:gridCol w:w="1554"/>
        <w:gridCol w:w="1791"/>
      </w:tblGrid>
      <w:tr w:rsidR="00262E43" w:rsidRPr="00F92636" w14:paraId="6EE66F7D" w14:textId="77777777" w:rsidTr="00C05849">
        <w:trPr>
          <w:trHeight w:val="387"/>
        </w:trPr>
        <w:tc>
          <w:tcPr>
            <w:tcW w:w="1674" w:type="dxa"/>
            <w:tcBorders>
              <w:top w:val="double" w:sz="2" w:space="0" w:color="000000"/>
              <w:left w:val="double" w:sz="2" w:space="0" w:color="000000"/>
              <w:bottom w:val="nil"/>
              <w:right w:val="nil"/>
            </w:tcBorders>
            <w:vAlign w:val="center"/>
            <w:hideMark/>
          </w:tcPr>
          <w:p w14:paraId="37F60141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Poskytovatel</w:t>
            </w:r>
          </w:p>
        </w:tc>
        <w:tc>
          <w:tcPr>
            <w:tcW w:w="787" w:type="dxa"/>
            <w:tcBorders>
              <w:top w:val="double" w:sz="2" w:space="0" w:color="000000"/>
              <w:left w:val="double" w:sz="2" w:space="0" w:color="000000"/>
              <w:bottom w:val="nil"/>
              <w:right w:val="nil"/>
            </w:tcBorders>
            <w:vAlign w:val="center"/>
            <w:hideMark/>
          </w:tcPr>
          <w:p w14:paraId="739AE131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ÚZ</w:t>
            </w:r>
          </w:p>
        </w:tc>
        <w:tc>
          <w:tcPr>
            <w:tcW w:w="1575" w:type="dxa"/>
            <w:tcBorders>
              <w:top w:val="double" w:sz="2" w:space="0" w:color="000000"/>
              <w:left w:val="double" w:sz="2" w:space="0" w:color="000000"/>
              <w:bottom w:val="nil"/>
              <w:right w:val="nil"/>
            </w:tcBorders>
            <w:vAlign w:val="center"/>
            <w:hideMark/>
          </w:tcPr>
          <w:p w14:paraId="17BE190D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Účel</w:t>
            </w:r>
          </w:p>
        </w:tc>
        <w:tc>
          <w:tcPr>
            <w:tcW w:w="953" w:type="dxa"/>
            <w:tcBorders>
              <w:top w:val="double" w:sz="2" w:space="0" w:color="000000"/>
              <w:left w:val="double" w:sz="2" w:space="0" w:color="000000"/>
              <w:bottom w:val="nil"/>
              <w:right w:val="nil"/>
            </w:tcBorders>
            <w:vAlign w:val="center"/>
            <w:hideMark/>
          </w:tcPr>
          <w:p w14:paraId="72D3D220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Položka</w:t>
            </w:r>
          </w:p>
        </w:tc>
        <w:tc>
          <w:tcPr>
            <w:tcW w:w="1620" w:type="dxa"/>
            <w:tcBorders>
              <w:top w:val="double" w:sz="2" w:space="0" w:color="000000"/>
              <w:left w:val="double" w:sz="2" w:space="0" w:color="000000"/>
              <w:bottom w:val="nil"/>
              <w:right w:val="nil"/>
            </w:tcBorders>
            <w:hideMark/>
          </w:tcPr>
          <w:p w14:paraId="4330FDA0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Výše </w:t>
            </w:r>
          </w:p>
          <w:p w14:paraId="497EC176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dotace</w:t>
            </w:r>
          </w:p>
        </w:tc>
        <w:tc>
          <w:tcPr>
            <w:tcW w:w="1554" w:type="dxa"/>
            <w:tcBorders>
              <w:top w:val="double" w:sz="2" w:space="0" w:color="000000"/>
              <w:left w:val="double" w:sz="2" w:space="0" w:color="000000"/>
              <w:bottom w:val="nil"/>
              <w:right w:val="nil"/>
            </w:tcBorders>
            <w:vAlign w:val="center"/>
            <w:hideMark/>
          </w:tcPr>
          <w:p w14:paraId="1ED099A5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Rozpočet</w:t>
            </w:r>
          </w:p>
        </w:tc>
        <w:tc>
          <w:tcPr>
            <w:tcW w:w="1791" w:type="dxa"/>
            <w:tcBorders>
              <w:top w:val="double" w:sz="2" w:space="0" w:color="000000"/>
              <w:left w:val="double" w:sz="2" w:space="0" w:color="000000"/>
              <w:bottom w:val="nil"/>
              <w:right w:val="double" w:sz="2" w:space="0" w:color="000000"/>
            </w:tcBorders>
            <w:vAlign w:val="center"/>
            <w:hideMark/>
          </w:tcPr>
          <w:p w14:paraId="43A3173F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Skutečnost</w:t>
            </w:r>
          </w:p>
          <w:p w14:paraId="62BFB097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čerpání</w:t>
            </w:r>
          </w:p>
        </w:tc>
      </w:tr>
      <w:tr w:rsidR="00262E43" w:rsidRPr="00F92636" w14:paraId="4A3F01BD" w14:textId="77777777" w:rsidTr="00C05849">
        <w:trPr>
          <w:trHeight w:val="197"/>
        </w:trPr>
        <w:tc>
          <w:tcPr>
            <w:tcW w:w="167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194FF810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bottom"/>
          </w:tcPr>
          <w:p w14:paraId="2BEC35C9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575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1FD82DCC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bottom"/>
          </w:tcPr>
          <w:p w14:paraId="4361B36A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</w:tcPr>
          <w:p w14:paraId="162CCE37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55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bottom"/>
          </w:tcPr>
          <w:p w14:paraId="4FEFCC40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91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bottom"/>
          </w:tcPr>
          <w:p w14:paraId="3D7B9CE6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262E43" w:rsidRPr="00F92636" w14:paraId="544B1604" w14:textId="77777777" w:rsidTr="00C05849">
        <w:trPr>
          <w:trHeight w:val="85"/>
        </w:trPr>
        <w:tc>
          <w:tcPr>
            <w:tcW w:w="167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6E3295DC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Min.zeměděl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787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bottom"/>
          </w:tcPr>
          <w:p w14:paraId="25AC0FD6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29014</w:t>
            </w:r>
          </w:p>
        </w:tc>
        <w:tc>
          <w:tcPr>
            <w:tcW w:w="1575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54E84268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Výchova obecních lesů</w:t>
            </w:r>
          </w:p>
        </w:tc>
        <w:tc>
          <w:tcPr>
            <w:tcW w:w="953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6D487C6D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116</w:t>
            </w:r>
          </w:p>
        </w:tc>
        <w:tc>
          <w:tcPr>
            <w:tcW w:w="162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10DA49FA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257 470</w:t>
            </w:r>
          </w:p>
        </w:tc>
        <w:tc>
          <w:tcPr>
            <w:tcW w:w="155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2154B059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257 470</w:t>
            </w:r>
          </w:p>
        </w:tc>
        <w:tc>
          <w:tcPr>
            <w:tcW w:w="1791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8FE0678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257 470,-</w:t>
            </w:r>
          </w:p>
        </w:tc>
      </w:tr>
      <w:tr w:rsidR="00262E43" w:rsidRPr="00F92636" w14:paraId="00504A0B" w14:textId="77777777" w:rsidTr="00C05849">
        <w:trPr>
          <w:trHeight w:val="474"/>
        </w:trPr>
        <w:tc>
          <w:tcPr>
            <w:tcW w:w="167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86AEC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Min. školství</w:t>
            </w:r>
          </w:p>
        </w:tc>
        <w:tc>
          <w:tcPr>
            <w:tcW w:w="787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AC6E8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33092</w:t>
            </w:r>
          </w:p>
        </w:tc>
        <w:tc>
          <w:tcPr>
            <w:tcW w:w="1575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DB70E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OP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J.A.Komenský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2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- pro ZŠ a MŠ průtoková</w:t>
            </w:r>
          </w:p>
        </w:tc>
        <w:tc>
          <w:tcPr>
            <w:tcW w:w="953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192468D5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4116</w:t>
            </w:r>
          </w:p>
        </w:tc>
        <w:tc>
          <w:tcPr>
            <w:tcW w:w="162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24D67791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770 898,40</w:t>
            </w:r>
          </w:p>
        </w:tc>
        <w:tc>
          <w:tcPr>
            <w:tcW w:w="155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52B5B464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770 898,40</w:t>
            </w:r>
          </w:p>
        </w:tc>
        <w:tc>
          <w:tcPr>
            <w:tcW w:w="1791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1FD63B71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8B33317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770 898,40</w:t>
            </w:r>
          </w:p>
          <w:p w14:paraId="0DBBFFC8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262E43" w:rsidRPr="00F92636" w14:paraId="1F74F59C" w14:textId="77777777" w:rsidTr="00C05849">
        <w:trPr>
          <w:trHeight w:val="306"/>
        </w:trPr>
        <w:tc>
          <w:tcPr>
            <w:tcW w:w="167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3525D2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JMK</w:t>
            </w:r>
          </w:p>
        </w:tc>
        <w:tc>
          <w:tcPr>
            <w:tcW w:w="787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F8A801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Bez </w:t>
            </w:r>
          </w:p>
        </w:tc>
        <w:tc>
          <w:tcPr>
            <w:tcW w:w="1575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5217DE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Realizace malé vodní nádrže na 2 roky</w:t>
            </w:r>
          </w:p>
        </w:tc>
        <w:tc>
          <w:tcPr>
            <w:tcW w:w="953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166A4989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</w:t>
            </w: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22</w:t>
            </w:r>
          </w:p>
        </w:tc>
        <w:tc>
          <w:tcPr>
            <w:tcW w:w="162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</w:tcPr>
          <w:p w14:paraId="0693D4DB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0597EFE" w14:textId="77777777" w:rsidR="00262E43" w:rsidRPr="00F92636" w:rsidRDefault="00262E43" w:rsidP="00C0584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700</w:t>
            </w: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000</w:t>
            </w:r>
          </w:p>
        </w:tc>
        <w:tc>
          <w:tcPr>
            <w:tcW w:w="155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3469C146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700</w:t>
            </w: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000</w:t>
            </w:r>
          </w:p>
        </w:tc>
        <w:tc>
          <w:tcPr>
            <w:tcW w:w="1791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58285C97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0,-</w:t>
            </w:r>
          </w:p>
        </w:tc>
      </w:tr>
      <w:tr w:rsidR="00262E43" w:rsidRPr="00F92636" w14:paraId="0B4EAC24" w14:textId="77777777" w:rsidTr="00C05849">
        <w:trPr>
          <w:trHeight w:val="72"/>
        </w:trPr>
        <w:tc>
          <w:tcPr>
            <w:tcW w:w="167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FF1299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Státní rozpočet r. 2025</w:t>
            </w:r>
          </w:p>
        </w:tc>
        <w:tc>
          <w:tcPr>
            <w:tcW w:w="787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968E0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98071</w:t>
            </w:r>
          </w:p>
        </w:tc>
        <w:tc>
          <w:tcPr>
            <w:tcW w:w="1575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9256D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Volby do PS</w:t>
            </w:r>
          </w:p>
        </w:tc>
        <w:tc>
          <w:tcPr>
            <w:tcW w:w="953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5DDDAE72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4111</w:t>
            </w:r>
          </w:p>
        </w:tc>
        <w:tc>
          <w:tcPr>
            <w:tcW w:w="162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1C7A422E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32 500</w:t>
            </w:r>
          </w:p>
        </w:tc>
        <w:tc>
          <w:tcPr>
            <w:tcW w:w="155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19498E5E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32 500</w:t>
            </w:r>
          </w:p>
        </w:tc>
        <w:tc>
          <w:tcPr>
            <w:tcW w:w="1791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35E773B5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    36 628,-</w:t>
            </w: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</w:t>
            </w:r>
          </w:p>
        </w:tc>
      </w:tr>
      <w:tr w:rsidR="00262E43" w:rsidRPr="00F92636" w14:paraId="68CBFC86" w14:textId="77777777" w:rsidTr="00C05849">
        <w:trPr>
          <w:trHeight w:val="306"/>
        </w:trPr>
        <w:tc>
          <w:tcPr>
            <w:tcW w:w="167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2E9C32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2B1010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575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143736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18970722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74F96835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55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1F1FB6B0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91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1EB0341D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262E43" w:rsidRPr="00F92636" w14:paraId="1B7426A0" w14:textId="77777777" w:rsidTr="00C05849">
        <w:trPr>
          <w:trHeight w:val="306"/>
        </w:trPr>
        <w:tc>
          <w:tcPr>
            <w:tcW w:w="1674" w:type="dxa"/>
            <w:tcBorders>
              <w:top w:val="nil"/>
              <w:left w:val="double" w:sz="2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A37F29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double" w:sz="2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249F8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575" w:type="dxa"/>
            <w:tcBorders>
              <w:top w:val="nil"/>
              <w:left w:val="double" w:sz="2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EC9585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  <w:hideMark/>
          </w:tcPr>
          <w:p w14:paraId="5930F4C5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double" w:sz="2" w:space="0" w:color="000000"/>
              <w:bottom w:val="nil"/>
              <w:right w:val="nil"/>
            </w:tcBorders>
          </w:tcPr>
          <w:p w14:paraId="462B0128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554" w:type="dxa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  <w:hideMark/>
          </w:tcPr>
          <w:p w14:paraId="7AD84254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91" w:type="dxa"/>
            <w:tcBorders>
              <w:top w:val="nil"/>
              <w:left w:val="double" w:sz="2" w:space="0" w:color="000000"/>
              <w:bottom w:val="nil"/>
              <w:right w:val="double" w:sz="2" w:space="0" w:color="000000"/>
            </w:tcBorders>
            <w:vAlign w:val="center"/>
            <w:hideMark/>
          </w:tcPr>
          <w:p w14:paraId="557598CF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262E43" w:rsidRPr="00F92636" w14:paraId="05FF3B72" w14:textId="77777777" w:rsidTr="00C05849">
        <w:trPr>
          <w:trHeight w:val="76"/>
        </w:trPr>
        <w:tc>
          <w:tcPr>
            <w:tcW w:w="1674" w:type="dxa"/>
            <w:tcBorders>
              <w:top w:val="nil"/>
              <w:left w:val="double" w:sz="2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FA9167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double" w:sz="2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90EFC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575" w:type="dxa"/>
            <w:tcBorders>
              <w:top w:val="nil"/>
              <w:left w:val="double" w:sz="2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B0A8F9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  <w:hideMark/>
          </w:tcPr>
          <w:p w14:paraId="784F209C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double" w:sz="2" w:space="0" w:color="000000"/>
              <w:bottom w:val="nil"/>
              <w:right w:val="nil"/>
            </w:tcBorders>
          </w:tcPr>
          <w:p w14:paraId="0EA2FDCE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554" w:type="dxa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  <w:hideMark/>
          </w:tcPr>
          <w:p w14:paraId="1DEF8880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91" w:type="dxa"/>
            <w:tcBorders>
              <w:top w:val="nil"/>
              <w:left w:val="double" w:sz="2" w:space="0" w:color="000000"/>
              <w:bottom w:val="nil"/>
              <w:right w:val="double" w:sz="2" w:space="0" w:color="000000"/>
            </w:tcBorders>
            <w:vAlign w:val="center"/>
            <w:hideMark/>
          </w:tcPr>
          <w:p w14:paraId="095466FA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262E43" w:rsidRPr="00F92636" w14:paraId="50B6FFBB" w14:textId="77777777" w:rsidTr="00C05849">
        <w:trPr>
          <w:trHeight w:val="55"/>
        </w:trPr>
        <w:tc>
          <w:tcPr>
            <w:tcW w:w="1674" w:type="dxa"/>
            <w:tcBorders>
              <w:top w:val="nil"/>
              <w:left w:val="double" w:sz="2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847DA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double" w:sz="2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93BF5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575" w:type="dxa"/>
            <w:tcBorders>
              <w:top w:val="nil"/>
              <w:left w:val="double" w:sz="2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DDD99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14:paraId="1B3B2E3F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double" w:sz="2" w:space="0" w:color="000000"/>
              <w:bottom w:val="nil"/>
              <w:right w:val="nil"/>
            </w:tcBorders>
          </w:tcPr>
          <w:p w14:paraId="4869DD6F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554" w:type="dxa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14:paraId="2060CE28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91" w:type="dxa"/>
            <w:tcBorders>
              <w:top w:val="nil"/>
              <w:left w:val="double" w:sz="2" w:space="0" w:color="000000"/>
              <w:bottom w:val="nil"/>
              <w:right w:val="double" w:sz="2" w:space="0" w:color="000000"/>
            </w:tcBorders>
            <w:vAlign w:val="center"/>
          </w:tcPr>
          <w:p w14:paraId="3CD19E69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262E43" w:rsidRPr="00F92636" w14:paraId="767CBFF2" w14:textId="77777777" w:rsidTr="00C05849">
        <w:trPr>
          <w:trHeight w:val="55"/>
        </w:trPr>
        <w:tc>
          <w:tcPr>
            <w:tcW w:w="167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D7DC1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E2044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575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8B1AA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0E047BE3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</w:tcPr>
          <w:p w14:paraId="5D115E9F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55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7E67EB93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91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73C5633B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2ADCAE50" w14:textId="77777777" w:rsidR="00262E43" w:rsidRDefault="00262E43" w:rsidP="00262E43">
      <w:pPr>
        <w:tabs>
          <w:tab w:val="num" w:pos="720"/>
        </w:tabs>
        <w:suppressAutoHyphens/>
        <w:spacing w:before="280" w:after="28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</w:pPr>
    </w:p>
    <w:p w14:paraId="6F17EF3A" w14:textId="77777777" w:rsidR="00262E43" w:rsidRDefault="00262E43" w:rsidP="00262E43">
      <w:pPr>
        <w:tabs>
          <w:tab w:val="num" w:pos="720"/>
        </w:tabs>
        <w:suppressAutoHyphens/>
        <w:spacing w:before="280" w:after="28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</w:pPr>
    </w:p>
    <w:p w14:paraId="04417ECF" w14:textId="77777777" w:rsidR="00262E43" w:rsidRPr="00F92636" w:rsidRDefault="00262E43" w:rsidP="00262E43">
      <w:pPr>
        <w:tabs>
          <w:tab w:val="num" w:pos="720"/>
        </w:tabs>
        <w:suppressAutoHyphens/>
        <w:spacing w:before="280" w:after="280" w:line="240" w:lineRule="auto"/>
        <w:ind w:left="720" w:hanging="720"/>
        <w:outlineLvl w:val="2"/>
        <w:rPr>
          <w:rFonts w:ascii="Times New Roman" w:eastAsia="Times New Roman" w:hAnsi="Times New Roman" w:cs="Times New Roman"/>
          <w:kern w:val="0"/>
          <w:sz w:val="24"/>
          <w:szCs w:val="27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  <w:lastRenderedPageBreak/>
        <w:t>B. Údaje o plnění příjmů a výdajů za rok 202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  <w:t>5</w:t>
      </w:r>
    </w:p>
    <w:tbl>
      <w:tblPr>
        <w:tblW w:w="924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165"/>
        <w:gridCol w:w="1995"/>
        <w:gridCol w:w="1962"/>
        <w:gridCol w:w="2118"/>
      </w:tblGrid>
      <w:tr w:rsidR="00262E43" w:rsidRPr="00F92636" w14:paraId="00D36C62" w14:textId="77777777" w:rsidTr="00C05849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AA6CB1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 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8A38F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Schválený rozpočet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4775F2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Upravený rozpočet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84AC50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Plnění k 31.12.202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</w:tr>
      <w:tr w:rsidR="00262E43" w:rsidRPr="00F92636" w14:paraId="61C97E52" w14:textId="77777777" w:rsidTr="00C05849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F18D9E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Třída l – daňové příjmy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2D212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10 425 000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1E283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11 296 000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EBC3F6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10 217 024,67</w:t>
            </w:r>
          </w:p>
        </w:tc>
      </w:tr>
      <w:tr w:rsidR="00262E43" w:rsidRPr="00F92636" w14:paraId="11BA1FE9" w14:textId="77777777" w:rsidTr="00C05849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FFF459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Třída 2 – nedaňové příjmy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DA4AB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578</w:t>
            </w: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000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B2FFA6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1 405 6</w:t>
            </w: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0660BD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1 341 099,90  </w:t>
            </w:r>
          </w:p>
        </w:tc>
      </w:tr>
      <w:tr w:rsidR="00262E43" w:rsidRPr="00F92636" w14:paraId="263D43C7" w14:textId="77777777" w:rsidTr="00C05849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66DAAE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Třída 3 – kapitálové příjmy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DFFF0F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3 300 000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489E9E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3 300 </w:t>
            </w: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F9E7C4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2 024 425,00</w:t>
            </w:r>
          </w:p>
        </w:tc>
      </w:tr>
      <w:tr w:rsidR="00262E43" w:rsidRPr="00F92636" w14:paraId="44055945" w14:textId="77777777" w:rsidTr="00C05849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5DE503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Třída 4 – přijaté transfery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277504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122 000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C0D485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  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 916 400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A5E9C1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2 176 799,40</w:t>
            </w:r>
          </w:p>
        </w:tc>
      </w:tr>
      <w:tr w:rsidR="00262E43" w:rsidRPr="00F92636" w14:paraId="387D7B0D" w14:textId="77777777" w:rsidTr="00C05849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E82D6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PŘÍJMY CELKEM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2E0C42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14 425 000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990283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F926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7 918 000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0240D1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16 759 348,97</w:t>
            </w:r>
          </w:p>
        </w:tc>
      </w:tr>
      <w:tr w:rsidR="00262E43" w:rsidRPr="00F92636" w14:paraId="7FF2D1BD" w14:textId="77777777" w:rsidTr="00C05849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E67591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F926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KONSOLIDACE</w:t>
            </w: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příjmů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391F54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   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3C9AE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        60 000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D1531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 320 000,-</w:t>
            </w:r>
          </w:p>
        </w:tc>
      </w:tr>
      <w:tr w:rsidR="00262E43" w:rsidRPr="00F92636" w14:paraId="151EE45D" w14:textId="77777777" w:rsidTr="00C05849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6530CE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Třída 5 – běžné výdaje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0E0D1A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12 158 000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9761D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14 993 200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D4FDF1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9 705 148,97</w:t>
            </w:r>
          </w:p>
        </w:tc>
      </w:tr>
      <w:tr w:rsidR="00262E43" w:rsidRPr="00F92636" w14:paraId="7CDEFB9F" w14:textId="77777777" w:rsidTr="00C05849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2B8725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Třída 6 – kapitálové výdaje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EC7B98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2 000 </w:t>
            </w: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000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4E584D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 5 086 1</w:t>
            </w: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E52E5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3 590 946,06</w:t>
            </w:r>
          </w:p>
        </w:tc>
      </w:tr>
      <w:tr w:rsidR="00262E43" w:rsidRPr="00F92636" w14:paraId="0E3E123B" w14:textId="77777777" w:rsidTr="00C05849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67FA33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VÝDAJE CELKEM</w:t>
            </w:r>
            <w:r w:rsidRPr="00F926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br/>
              <w:t>KONSOLIDACE</w:t>
            </w:r>
            <w:r w:rsidRPr="00F926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br/>
              <w:t>výdajů</w:t>
            </w:r>
            <w:r w:rsidRPr="00F926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br/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F63EAF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 14 158 </w:t>
            </w:r>
            <w:r w:rsidRPr="00F926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000</w:t>
            </w:r>
            <w:r w:rsidRPr="00F926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br/>
              <w:t xml:space="preserve">    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F9657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  20 019 300</w:t>
            </w:r>
          </w:p>
          <w:p w14:paraId="4FC76E7B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   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E64DA9" w14:textId="77777777" w:rsidR="00262E43" w:rsidRPr="00F92636" w:rsidRDefault="00262E43" w:rsidP="00C058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  12 976 095,03</w:t>
            </w:r>
          </w:p>
        </w:tc>
      </w:tr>
    </w:tbl>
    <w:p w14:paraId="7E4E1FFF" w14:textId="77777777" w:rsidR="00262E43" w:rsidRPr="00F92636" w:rsidRDefault="00262E43" w:rsidP="00262E43">
      <w:pPr>
        <w:tabs>
          <w:tab w:val="num" w:pos="864"/>
        </w:tabs>
        <w:suppressAutoHyphens/>
        <w:spacing w:before="280" w:after="280" w:line="240" w:lineRule="auto"/>
        <w:ind w:left="864" w:right="-288" w:hanging="864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Komentář k vybraným příjmovým položkám:</w:t>
      </w:r>
    </w:p>
    <w:p w14:paraId="162E6D2E" w14:textId="77777777" w:rsidR="00262E43" w:rsidRPr="00F92636" w:rsidRDefault="00262E43" w:rsidP="00262E43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poplatek – za likvidaci komunálního odpadu byl v roce </w:t>
      </w:r>
      <w:proofErr w:type="gramStart"/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5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vybírán</w:t>
      </w:r>
      <w:proofErr w:type="gramEnd"/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poplatek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7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00,-Kč/1 osoba(rekreační objekt)/rok, celkem bylo vybráno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315 150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,-  Kč </w:t>
      </w:r>
    </w:p>
    <w:p w14:paraId="0E1F34C9" w14:textId="77777777" w:rsidR="00262E43" w:rsidRPr="00F92636" w:rsidRDefault="00262E43" w:rsidP="00262E43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poplatek ze psů Kč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20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0,-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za 1.psa, 300,- Kč za 2.psa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/rok, celkem </w:t>
      </w:r>
      <w:proofErr w:type="gramStart"/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Kč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13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00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0,-Kč </w:t>
      </w:r>
    </w:p>
    <w:p w14:paraId="5E38C9E6" w14:textId="77777777" w:rsidR="00262E43" w:rsidRPr="00F92636" w:rsidRDefault="00262E43" w:rsidP="00262E43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příjmy z pronájmu </w:t>
      </w:r>
      <w:proofErr w:type="gramStart"/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pozemků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41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979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,- Kč  </w:t>
      </w:r>
    </w:p>
    <w:p w14:paraId="43A67650" w14:textId="77777777" w:rsidR="00262E43" w:rsidRPr="00F92636" w:rsidRDefault="00262E43" w:rsidP="00262E43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příjmy z pronájmu nebytových prostor v budově </w:t>
      </w:r>
      <w:proofErr w:type="spellStart"/>
      <w:proofErr w:type="gramStart"/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ob.úřadu</w:t>
      </w:r>
      <w:proofErr w:type="spellEnd"/>
      <w:proofErr w:type="gramEnd"/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celkem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99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0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,- Kč </w:t>
      </w:r>
    </w:p>
    <w:p w14:paraId="6415BB45" w14:textId="77777777" w:rsidR="00262E43" w:rsidRDefault="00262E43" w:rsidP="00262E43">
      <w:pPr>
        <w:numPr>
          <w:ilvl w:val="0"/>
          <w:numId w:val="2"/>
        </w:numPr>
        <w:suppressAutoHyphens/>
        <w:spacing w:after="2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příjem z prodeje dřeva z obecních </w:t>
      </w:r>
      <w:proofErr w:type="gramStart"/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lesů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270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 687,04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Kč</w:t>
      </w:r>
    </w:p>
    <w:p w14:paraId="30BE2899" w14:textId="77777777" w:rsidR="00262E43" w:rsidRDefault="00262E43" w:rsidP="00262E43">
      <w:pPr>
        <w:numPr>
          <w:ilvl w:val="0"/>
          <w:numId w:val="2"/>
        </w:numPr>
        <w:suppressAutoHyphens/>
        <w:spacing w:after="2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A121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příjmy z prodeje pozemků určených k výstavbě rodinných domů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2 024 425</w:t>
      </w:r>
      <w:r w:rsidRPr="005A121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,-Kč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včetně</w:t>
      </w:r>
      <w:r w:rsidRPr="005A121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DPH</w:t>
      </w:r>
      <w:proofErr w:type="gramEnd"/>
    </w:p>
    <w:p w14:paraId="0A2849F4" w14:textId="77777777" w:rsidR="00262E43" w:rsidRPr="005A1219" w:rsidRDefault="00262E43" w:rsidP="00262E43">
      <w:pPr>
        <w:numPr>
          <w:ilvl w:val="0"/>
          <w:numId w:val="2"/>
        </w:numPr>
        <w:suppressAutoHyphens/>
        <w:spacing w:after="2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A121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příjem z výrobny fotovoltaické elektrárny </w:t>
      </w:r>
      <w:proofErr w:type="gramStart"/>
      <w:r w:rsidRPr="005A121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celkem  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64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 040,21</w:t>
      </w:r>
      <w:r w:rsidRPr="005A121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Kč</w:t>
      </w:r>
    </w:p>
    <w:p w14:paraId="46A9DD59" w14:textId="77777777" w:rsidR="00262E43" w:rsidRPr="00F92636" w:rsidRDefault="00262E43" w:rsidP="00262E43">
      <w:pPr>
        <w:tabs>
          <w:tab w:val="num" w:pos="864"/>
        </w:tabs>
        <w:suppressAutoHyphens/>
        <w:spacing w:before="280" w:after="280" w:line="240" w:lineRule="auto"/>
        <w:ind w:left="864" w:hanging="864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Komentář k vybraným výdajovým položkám:</w:t>
      </w:r>
    </w:p>
    <w:p w14:paraId="7D9D72A6" w14:textId="77777777" w:rsidR="00262E43" w:rsidRPr="00F92636" w:rsidRDefault="00262E43" w:rsidP="00262E43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dopravní obslužnost – příspěvek na IDS JMK  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8 7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00,- Kč </w:t>
      </w:r>
    </w:p>
    <w:p w14:paraId="1C4449E9" w14:textId="77777777" w:rsidR="00262E43" w:rsidRPr="00F92636" w:rsidRDefault="00262E43" w:rsidP="00262E43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neinvestiční dotace na provoz ZŠ a </w:t>
      </w:r>
      <w:proofErr w:type="gramStart"/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MŠ  Žďárec</w:t>
      </w:r>
      <w:proofErr w:type="gramEnd"/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2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0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00 000,- Kč </w:t>
      </w:r>
    </w:p>
    <w:p w14:paraId="02D43003" w14:textId="77777777" w:rsidR="00262E43" w:rsidRPr="00F92636" w:rsidRDefault="00262E43" w:rsidP="00262E43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výměna tepelných čerpadel v zadní budově základní školy -náklady 1 267 497,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-  a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v roce 2026 proběhne výměna v přední budově školy</w:t>
      </w:r>
    </w:p>
    <w:p w14:paraId="214297B1" w14:textId="77777777" w:rsidR="00262E43" w:rsidRPr="00F92636" w:rsidRDefault="00262E43" w:rsidP="00262E43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-   pěstební činnost v lesích</w:t>
      </w:r>
      <w:proofErr w:type="gramStart"/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-  nákup</w:t>
      </w:r>
      <w:proofErr w:type="gramEnd"/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materiálu a služeb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1 158 385,90 Kč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 dotace z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MIN.ZEMĚD.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257 470,-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Kč</w:t>
      </w:r>
    </w:p>
    <w:p w14:paraId="12C2286A" w14:textId="77777777" w:rsidR="00262E43" w:rsidRDefault="00262E43" w:rsidP="00262E43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Údaje o plnění rozpočtu příjmů, výdajů a o dalších finančních operacích v plném členění podle rozpočtové skladby jsou obsaženy ve výkazu Fin 2-12 k 31.12.202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5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3D951D16" w14:textId="77777777" w:rsidR="00262E43" w:rsidRDefault="00262E43" w:rsidP="00262E43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Obec Žďárec nevede žádnou vedlejší hospodářskou činnost, veškeré peněžní operace byly účtovány v rámci rozpočtu.</w:t>
      </w:r>
    </w:p>
    <w:p w14:paraId="1C899FC6" w14:textId="77777777" w:rsidR="00262E43" w:rsidRPr="00F92636" w:rsidRDefault="00262E43" w:rsidP="00262E43">
      <w:pPr>
        <w:tabs>
          <w:tab w:val="num" w:pos="720"/>
        </w:tabs>
        <w:suppressAutoHyphens/>
        <w:spacing w:before="280" w:after="280" w:line="240" w:lineRule="auto"/>
        <w:ind w:left="30" w:hanging="72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  <w:tab/>
        <w:t xml:space="preserve">Stav běžných účtů </w:t>
      </w:r>
      <w:proofErr w:type="gramStart"/>
      <w:r w:rsidRPr="00F926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  <w:t>obce  vedených</w:t>
      </w:r>
      <w:proofErr w:type="gramEnd"/>
      <w:r w:rsidRPr="00F926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  <w:t xml:space="preserve"> u KB, ČSOB, a ČNB  k 31.12.202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  <w:t>5</w:t>
      </w:r>
      <w:r w:rsidRPr="00F926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  <w:t xml:space="preserve"> </w:t>
      </w:r>
    </w:p>
    <w:p w14:paraId="66C32D0B" w14:textId="77777777" w:rsidR="00262E43" w:rsidRPr="00F92636" w:rsidRDefault="00262E43" w:rsidP="00262E43">
      <w:pPr>
        <w:tabs>
          <w:tab w:val="num" w:pos="720"/>
        </w:tabs>
        <w:suppressAutoHyphens/>
        <w:spacing w:before="280" w:after="280" w:line="240" w:lineRule="auto"/>
        <w:ind w:left="30" w:hanging="72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  <w:t xml:space="preserve">       </w:t>
      </w:r>
      <w:r w:rsidRPr="00F926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  <w:tab/>
      </w:r>
      <w:r w:rsidRPr="00F926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  <w:tab/>
      </w:r>
      <w:r w:rsidRPr="00F926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  <w:tab/>
      </w:r>
      <w:r w:rsidRPr="00F926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  <w:tab/>
        <w:t xml:space="preserve">   činí   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  <w:t>9 135 733,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  <w:t>28</w:t>
      </w:r>
      <w:r w:rsidRPr="00F926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  <w:t xml:space="preserve">  Kč</w:t>
      </w:r>
      <w:proofErr w:type="gramEnd"/>
      <w:r w:rsidRPr="00F926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  <w:t>.</w:t>
      </w:r>
    </w:p>
    <w:p w14:paraId="68A3EF16" w14:textId="77777777" w:rsidR="00262E43" w:rsidRPr="00F92636" w:rsidRDefault="00262E43" w:rsidP="00262E43">
      <w:pPr>
        <w:tabs>
          <w:tab w:val="num" w:pos="720"/>
        </w:tabs>
        <w:suppressAutoHyphens/>
        <w:spacing w:before="280" w:after="280" w:line="240" w:lineRule="auto"/>
        <w:ind w:left="30" w:hanging="72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  <w:lastRenderedPageBreak/>
        <w:tab/>
        <w:t xml:space="preserve">Výsledek hospodaření </w:t>
      </w:r>
      <w:proofErr w:type="gramStart"/>
      <w:r w:rsidRPr="00F926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  <w:t>obce  ke</w:t>
      </w:r>
      <w:proofErr w:type="gramEnd"/>
      <w:r w:rsidRPr="00F926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  <w:t xml:space="preserve"> dni 31.12.202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  <w:t>5</w:t>
      </w:r>
      <w:r w:rsidRPr="00F926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  <w:t xml:space="preserve">   činí  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  <w:t xml:space="preserve"> 4 954 587,86</w:t>
      </w:r>
      <w:r w:rsidRPr="00F926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  <w:t xml:space="preserve">  Kč.</w:t>
      </w:r>
    </w:p>
    <w:p w14:paraId="74181500" w14:textId="77777777" w:rsidR="00262E43" w:rsidRPr="00F92636" w:rsidRDefault="00262E43" w:rsidP="00262E43">
      <w:pPr>
        <w:tabs>
          <w:tab w:val="num" w:pos="720"/>
        </w:tabs>
        <w:suppressAutoHyphens/>
        <w:spacing w:before="280" w:after="280" w:line="240" w:lineRule="auto"/>
        <w:ind w:left="30" w:hanging="72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  <w:t xml:space="preserve">Rozpočtové hospodaření </w:t>
      </w:r>
    </w:p>
    <w:p w14:paraId="5AEAA46C" w14:textId="77777777" w:rsidR="00262E43" w:rsidRPr="00F92636" w:rsidRDefault="00262E43" w:rsidP="00262E43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Rozpočet obce Žďárec po jeho řádném vyvěšení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21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.11.202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4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Návrh rozpočtu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dne 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9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4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schválilo 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Zastupitelstvo obce  na veřejném zasedání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 zveřejněn od 10.12.2024 do 31.12.2025.</w:t>
      </w:r>
    </w:p>
    <w:p w14:paraId="76B2B426" w14:textId="77777777" w:rsidR="00262E43" w:rsidRPr="00F92636" w:rsidRDefault="00262E43" w:rsidP="00262E43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příjmů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14 425 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000,- </w:t>
      </w:r>
      <w:proofErr w:type="gramStart"/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Kč  ,</w:t>
      </w:r>
      <w:proofErr w:type="gramEnd"/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F926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výdajů 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4 158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000,-.Kč  a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 xml:space="preserve"> </w:t>
      </w:r>
      <w:r w:rsidRPr="00F926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financování 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2678 00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0,- Kč.</w:t>
      </w:r>
    </w:p>
    <w:p w14:paraId="40B60BBE" w14:textId="77777777" w:rsidR="00262E43" w:rsidRPr="00F92636" w:rsidRDefault="00262E43" w:rsidP="00262E43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Během roku starosta obce schválil </w:t>
      </w:r>
      <w:proofErr w:type="gramStart"/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postupně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9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rozpočtových opatření, která měnila výši rozpočtu na straně příjmů i výdajů. </w:t>
      </w:r>
    </w:p>
    <w:p w14:paraId="22ED4E45" w14:textId="77777777" w:rsidR="00262E43" w:rsidRPr="00F92636" w:rsidRDefault="00262E43" w:rsidP="00262E4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Celková výše rozpočtových opatření činila:</w:t>
      </w:r>
    </w:p>
    <w:p w14:paraId="04E0632B" w14:textId="77777777" w:rsidR="00262E43" w:rsidRPr="00F92636" w:rsidRDefault="00262E43" w:rsidP="00262E4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Schválený rozpočet </w:t>
      </w:r>
    </w:p>
    <w:p w14:paraId="2F4921A5" w14:textId="77777777" w:rsidR="00262E43" w:rsidRPr="00F92636" w:rsidRDefault="00262E43" w:rsidP="00262E4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Příjmy 1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4 425</w:t>
      </w: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000,-- </w:t>
      </w: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V</w:t>
      </w: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ýdaje    1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4 158</w:t>
      </w: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000,-- </w:t>
      </w: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F</w:t>
      </w: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inancování    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  <w:t>267 00</w:t>
      </w: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0,-</w:t>
      </w:r>
    </w:p>
    <w:p w14:paraId="239C7330" w14:textId="77777777" w:rsidR="00262E43" w:rsidRPr="00F92636" w:rsidRDefault="00262E43" w:rsidP="00262E4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43FBAD69" w14:textId="77777777" w:rsidR="00262E43" w:rsidRPr="00F92636" w:rsidRDefault="00262E43" w:rsidP="00262E4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Celková změna</w:t>
      </w:r>
    </w:p>
    <w:p w14:paraId="29387F18" w14:textId="77777777" w:rsidR="00262E43" w:rsidRPr="00F92636" w:rsidRDefault="00262E43" w:rsidP="00262E4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proofErr w:type="gramStart"/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Příjmy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3</w:t>
      </w:r>
      <w:proofErr w:type="gram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 493 0</w:t>
      </w: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00,--</w:t>
      </w: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V</w:t>
      </w: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ýdaje  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5 921 3</w:t>
      </w: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00,--</w:t>
      </w: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F</w:t>
      </w: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inancování   -  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2 428 300</w:t>
      </w: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 </w:t>
      </w:r>
    </w:p>
    <w:p w14:paraId="77708F69" w14:textId="77777777" w:rsidR="00262E43" w:rsidRPr="00F92636" w:rsidRDefault="00262E43" w:rsidP="00262E4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343AAB3A" w14:textId="77777777" w:rsidR="00262E43" w:rsidRPr="00F92636" w:rsidRDefault="00262E43" w:rsidP="00262E4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Upravený rozpočet:</w:t>
      </w:r>
    </w:p>
    <w:p w14:paraId="49C7A21E" w14:textId="77777777" w:rsidR="00262E43" w:rsidRPr="00F92636" w:rsidRDefault="00262E43" w:rsidP="00262E4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Příjmy 1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7 918 0</w:t>
      </w: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00,- </w:t>
      </w: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proofErr w:type="gramStart"/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výdaje  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0</w:t>
      </w:r>
      <w:proofErr w:type="gram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 079 30</w:t>
      </w: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0,- </w:t>
      </w: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  <w:t xml:space="preserve">financování     –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2 161 30</w:t>
      </w: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0 ,-</w:t>
      </w:r>
    </w:p>
    <w:p w14:paraId="0AA32EC5" w14:textId="77777777" w:rsidR="00262E43" w:rsidRPr="00F92636" w:rsidRDefault="00262E43" w:rsidP="00262E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/>
        <w:t>O provedených rozpočtových opatřeních je vedena evidence v souladu s § 16 zákona č. 250/2000 Sb. o rozpočtových pravidlech územních rozpočtů.</w:t>
      </w:r>
    </w:p>
    <w:p w14:paraId="3145F530" w14:textId="77777777" w:rsidR="00262E43" w:rsidRPr="00F92636" w:rsidRDefault="00262E43" w:rsidP="00262E4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3DC0010" w14:textId="77777777" w:rsidR="00262E43" w:rsidRPr="00F92636" w:rsidRDefault="00262E43" w:rsidP="00262E4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ar-SA"/>
          <w14:ligatures w14:val="none"/>
        </w:rPr>
        <w:t>Přehled poskytnutých příspěvků a dotací v roce 202</w:t>
      </w:r>
      <w:r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ar-SA"/>
          <w14:ligatures w14:val="none"/>
        </w:rPr>
        <w:t>5</w:t>
      </w:r>
    </w:p>
    <w:p w14:paraId="09FB468C" w14:textId="77777777" w:rsidR="00262E43" w:rsidRPr="00F92636" w:rsidRDefault="00262E43" w:rsidP="00262E4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ar-SA"/>
          <w14:ligatures w14:val="none"/>
        </w:rPr>
      </w:pPr>
    </w:p>
    <w:p w14:paraId="07CE2F72" w14:textId="77777777" w:rsidR="00262E43" w:rsidRPr="00961D4B" w:rsidRDefault="00262E43" w:rsidP="00262E4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</w:pPr>
      <w:r w:rsidRPr="00961D4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  <w:t xml:space="preserve">V roce </w:t>
      </w:r>
      <w:proofErr w:type="gramStart"/>
      <w:r w:rsidRPr="00961D4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  <w:t>5</w:t>
      </w:r>
      <w:r w:rsidRPr="00961D4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  <w:t xml:space="preserve">  poskytla</w:t>
      </w:r>
      <w:proofErr w:type="gramEnd"/>
      <w:r w:rsidRPr="00961D4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  <w:t xml:space="preserve"> obce Žďárec  tyto příspěvky:</w:t>
      </w:r>
    </w:p>
    <w:p w14:paraId="0BFEDFF0" w14:textId="77777777" w:rsidR="00262E43" w:rsidRPr="00F92636" w:rsidRDefault="00262E43" w:rsidP="00262E4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pol.5329 § 2310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členský 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příspěvek   Svazku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vod.a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kan.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Žďársko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46 440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,-  Kč</w:t>
      </w:r>
    </w:p>
    <w:p w14:paraId="4BE1C484" w14:textId="77777777" w:rsidR="00262E43" w:rsidRPr="00F92636" w:rsidRDefault="00262E43" w:rsidP="00262E4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proofErr w:type="spellStart"/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pol</w:t>
      </w:r>
      <w:proofErr w:type="spellEnd"/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5329 § 3636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 xml:space="preserve"> DSO Tišnovsko příspěvek dle obyv.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27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480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,</w:t>
      </w:r>
      <w:proofErr w:type="gramEnd"/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- Kč</w:t>
      </w:r>
    </w:p>
    <w:p w14:paraId="2F3CDCFD" w14:textId="77777777" w:rsidR="00262E43" w:rsidRPr="00F92636" w:rsidRDefault="00262E43" w:rsidP="00262E4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pol. 5329 § 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>DSO – GDPR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12 000,- Kč</w:t>
      </w:r>
    </w:p>
    <w:p w14:paraId="4CF69201" w14:textId="77777777" w:rsidR="00262E43" w:rsidRPr="00F92636" w:rsidRDefault="00262E43" w:rsidP="00262E4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pol. 5321 § 6171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 xml:space="preserve">Město Tišnov – sociální služby 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40 7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00,- Kč</w:t>
      </w:r>
    </w:p>
    <w:p w14:paraId="2A4BFDC4" w14:textId="77777777" w:rsidR="00262E43" w:rsidRPr="00F92636" w:rsidRDefault="00262E43" w:rsidP="00262E4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pol. </w:t>
      </w:r>
      <w:proofErr w:type="gramStart"/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5321  §</w:t>
      </w:r>
      <w:proofErr w:type="gramEnd"/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6171       Město Tišnov – přestup. Komise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3 000,- Kč</w:t>
      </w:r>
    </w:p>
    <w:p w14:paraId="40531408" w14:textId="77777777" w:rsidR="00262E43" w:rsidRPr="00F92636" w:rsidRDefault="00262E43" w:rsidP="00262E4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pol.5321 </w:t>
      </w:r>
      <w:proofErr w:type="gramStart"/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§  6171</w:t>
      </w:r>
      <w:proofErr w:type="gramEnd"/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>Město  Tišnov- právní ochrana dětí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1 000,- Kč</w:t>
      </w:r>
    </w:p>
    <w:p w14:paraId="4E3449DA" w14:textId="77777777" w:rsidR="00262E43" w:rsidRPr="00F92636" w:rsidRDefault="00262E43" w:rsidP="00262E4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pol.5222 § 3749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>Včelařský svazek – Dolní Loučky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2 000,- Kč</w:t>
      </w:r>
    </w:p>
    <w:p w14:paraId="47020CF5" w14:textId="77777777" w:rsidR="00262E43" w:rsidRPr="00F92636" w:rsidRDefault="00262E43" w:rsidP="00262E4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pol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6451                     příspěvek ZŠ A MŠ- půjčka na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interakt.tabuli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 xml:space="preserve">   51 984,- Kč</w:t>
      </w:r>
    </w:p>
    <w:p w14:paraId="34B7E7E6" w14:textId="77777777" w:rsidR="00262E43" w:rsidRPr="00F92636" w:rsidRDefault="00262E43" w:rsidP="00262E4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ar-SA"/>
          <w14:ligatures w14:val="none"/>
        </w:rPr>
      </w:pPr>
    </w:p>
    <w:p w14:paraId="0E4834AE" w14:textId="77777777" w:rsidR="00262E43" w:rsidRPr="00F92636" w:rsidRDefault="00262E43" w:rsidP="00262E4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ar-SA"/>
          <w14:ligatures w14:val="none"/>
        </w:rPr>
        <w:t>Investiční akce v roce 202</w:t>
      </w:r>
      <w:r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ar-SA"/>
          <w14:ligatures w14:val="none"/>
        </w:rPr>
        <w:t>5</w:t>
      </w:r>
    </w:p>
    <w:p w14:paraId="0319ADB0" w14:textId="77777777" w:rsidR="00262E43" w:rsidRPr="00F92636" w:rsidRDefault="00262E43" w:rsidP="00262E4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ar-SA"/>
          <w14:ligatures w14:val="none"/>
        </w:rPr>
      </w:pPr>
    </w:p>
    <w:p w14:paraId="0B28EE71" w14:textId="77777777" w:rsidR="00262E43" w:rsidRDefault="00262E43" w:rsidP="00262E4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Výměna tepelných čerpadel v jedné z budov základní školy, už byla velká poruchovost a proto bylo rozhodnuto, že se provede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výměna ,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v roce 2026 se vymění čerpadla pro přední budovu, zabrání se tím dalším nákladům do oprav a také bude úspora elektrické energie.</w:t>
      </w:r>
    </w:p>
    <w:p w14:paraId="3C500CB1" w14:textId="77777777" w:rsidR="00262E43" w:rsidRPr="00F92636" w:rsidRDefault="00262E43" w:rsidP="00262E4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U nového multifunkčního hřiště bylo dobudováno zázemí, parkoviště, elektroinstalace. Začaly práce na Realizaci malé vodní nádrže v lokalitě nad rybníkem-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směr 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Víckov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. Obec požádala o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dotaci  Jihomoravský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kraj a v prosinci obdržela 700 000,- Kč. Stavba se ale z důvodu nepříznivého počasí bude realizovat až v roce 2026.</w:t>
      </w:r>
    </w:p>
    <w:p w14:paraId="6603B024" w14:textId="77777777" w:rsidR="00262E43" w:rsidRPr="00F92636" w:rsidRDefault="00262E43" w:rsidP="00262E43">
      <w:pPr>
        <w:tabs>
          <w:tab w:val="num" w:pos="720"/>
        </w:tabs>
        <w:suppressAutoHyphens/>
        <w:spacing w:before="280" w:after="28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  <w:t xml:space="preserve">C. Majetek obce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  <w:t>–</w:t>
      </w:r>
      <w:r w:rsidRPr="00F926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  <w:t xml:space="preserve"> inventarizace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  <w:t xml:space="preserve"> </w:t>
      </w:r>
    </w:p>
    <w:p w14:paraId="36893B6E" w14:textId="77777777" w:rsidR="00262E43" w:rsidRPr="00F92636" w:rsidRDefault="00262E43" w:rsidP="00262E43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 xml:space="preserve">Inventarizace majetku byla provedena ke dni </w:t>
      </w:r>
      <w:proofErr w:type="gramStart"/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31.12.202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5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na</w:t>
      </w:r>
      <w:proofErr w:type="gramEnd"/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základě plánu inventur ze dne 20.11.202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5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. Byl porovnán stav fyzický se stavem účetním, nebyly zjištěny žádné rozdíly. </w:t>
      </w:r>
    </w:p>
    <w:p w14:paraId="49B9C972" w14:textId="77777777" w:rsidR="00262E43" w:rsidRPr="00F92636" w:rsidRDefault="00262E43" w:rsidP="00262E43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Stav majetku, pohledávek a závazků obce </w:t>
      </w:r>
      <w:proofErr w:type="gramStart"/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k  31.12.202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5</w:t>
      </w:r>
      <w:proofErr w:type="gramEnd"/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– rekapitulace</w:t>
      </w:r>
    </w:p>
    <w:p w14:paraId="7771F620" w14:textId="77777777" w:rsidR="00262E43" w:rsidRPr="00F92636" w:rsidRDefault="00262E43" w:rsidP="00262E4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909"/>
        <w:gridCol w:w="1727"/>
        <w:gridCol w:w="1727"/>
        <w:gridCol w:w="1583"/>
        <w:gridCol w:w="144"/>
        <w:gridCol w:w="1236"/>
      </w:tblGrid>
      <w:tr w:rsidR="00262E43" w:rsidRPr="00F92636" w14:paraId="77176BB8" w14:textId="77777777" w:rsidTr="00C05849">
        <w:trPr>
          <w:trHeight w:val="570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100D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Název účtu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A841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č. účtu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7DCF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stav zjištěný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50E1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korekce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AA0B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stav skutečný 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4DD3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rozdíl</w:t>
            </w:r>
          </w:p>
        </w:tc>
      </w:tr>
      <w:tr w:rsidR="00262E43" w:rsidRPr="00F92636" w14:paraId="6ADAE854" w14:textId="77777777" w:rsidTr="00C05849">
        <w:trPr>
          <w:trHeight w:val="277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6A67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Drobný </w:t>
            </w:r>
            <w:proofErr w:type="spellStart"/>
            <w:proofErr w:type="gramStart"/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dlouh.nehm</w:t>
            </w:r>
            <w:proofErr w:type="gramEnd"/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.m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D54D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018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A351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177 252,65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4B0A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177 252,65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BF23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177 252,65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68F9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X</w:t>
            </w:r>
          </w:p>
        </w:tc>
      </w:tr>
      <w:tr w:rsidR="00262E43" w:rsidRPr="00F92636" w14:paraId="508DD09B" w14:textId="77777777" w:rsidTr="00C05849">
        <w:trPr>
          <w:trHeight w:val="277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D07B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Ostatní DNM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E329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019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8C11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401 042,00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186F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301 785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0CE6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401 042,00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C4B4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X</w:t>
            </w:r>
          </w:p>
        </w:tc>
      </w:tr>
      <w:tr w:rsidR="00262E43" w:rsidRPr="00F92636" w14:paraId="1DFADD95" w14:textId="77777777" w:rsidTr="00C05849">
        <w:trPr>
          <w:trHeight w:val="277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B262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Pozemky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3EE7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031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13F0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 743 963,68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A6F2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53B3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 743 963,68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E64D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X</w:t>
            </w:r>
          </w:p>
        </w:tc>
      </w:tr>
      <w:tr w:rsidR="00262E43" w:rsidRPr="00F92636" w14:paraId="4D9CD23B" w14:textId="77777777" w:rsidTr="00C05849">
        <w:trPr>
          <w:trHeight w:val="277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6D27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Stavby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4AB5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021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DDEB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66 5858 324,07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43E2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15 369 701,-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01D4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66 585 324,07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FBDC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X</w:t>
            </w:r>
          </w:p>
        </w:tc>
      </w:tr>
      <w:tr w:rsidR="00262E43" w:rsidRPr="00F92636" w14:paraId="3286F128" w14:textId="77777777" w:rsidTr="00C05849">
        <w:trPr>
          <w:trHeight w:val="277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FAD3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Samostatné </w:t>
            </w:r>
            <w:proofErr w:type="spellStart"/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mov</w:t>
            </w:r>
            <w:proofErr w:type="spellEnd"/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 věci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3EE1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022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097E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7 781 919,08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F2C0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5 593 631,48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90A1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7 781 919,08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6B60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X</w:t>
            </w:r>
          </w:p>
        </w:tc>
      </w:tr>
      <w:tr w:rsidR="00262E43" w:rsidRPr="00F92636" w14:paraId="56EC2E8A" w14:textId="77777777" w:rsidTr="00C05849">
        <w:trPr>
          <w:trHeight w:val="277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569B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DDHM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78A9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028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CB13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2 167 634,53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9663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F874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2 167 634,53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6598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X</w:t>
            </w:r>
          </w:p>
        </w:tc>
      </w:tr>
      <w:tr w:rsidR="00262E43" w:rsidRPr="00F92636" w14:paraId="5C1F5C15" w14:textId="77777777" w:rsidTr="00C05849">
        <w:trPr>
          <w:trHeight w:val="277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586C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Nedokončený DHM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FD7A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042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0DC8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1 397 910,70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910B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0F3C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1 397 910,70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727F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X</w:t>
            </w:r>
          </w:p>
        </w:tc>
      </w:tr>
      <w:tr w:rsidR="00262E43" w:rsidRPr="00F92636" w14:paraId="256FD954" w14:textId="77777777" w:rsidTr="00C05849">
        <w:trPr>
          <w:trHeight w:val="277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8BB0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Pokladna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B4A7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261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6314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17 350,-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CC35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F435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17 350,-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5EE9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X</w:t>
            </w:r>
          </w:p>
        </w:tc>
      </w:tr>
      <w:tr w:rsidR="00262E43" w:rsidRPr="00F92636" w14:paraId="6A77DE0E" w14:textId="77777777" w:rsidTr="00C05849">
        <w:trPr>
          <w:trHeight w:val="277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2655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Z běžné účty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7B46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231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F197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9 135 733,28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FA6E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403A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9 135 733,28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CB0F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X</w:t>
            </w:r>
          </w:p>
        </w:tc>
      </w:tr>
      <w:tr w:rsidR="00262E43" w:rsidRPr="00F92636" w14:paraId="243AC48F" w14:textId="77777777" w:rsidTr="00C05849">
        <w:trPr>
          <w:trHeight w:val="277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B699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Ceniny –</w:t>
            </w:r>
            <w:proofErr w:type="spellStart"/>
            <w:proofErr w:type="gramStart"/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pošt.známky</w:t>
            </w:r>
            <w:proofErr w:type="spellEnd"/>
            <w:proofErr w:type="gram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DA8E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263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64A9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814</w:t>
            </w: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7086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A950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    814</w:t>
            </w: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135D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X</w:t>
            </w:r>
          </w:p>
        </w:tc>
      </w:tr>
      <w:tr w:rsidR="00262E43" w:rsidRPr="00F92636" w14:paraId="642C8F72" w14:textId="77777777" w:rsidTr="00C05849">
        <w:trPr>
          <w:trHeight w:val="277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5965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Odběratelé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16B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311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04BC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130 476,65</w:t>
            </w: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8959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E822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130 476,65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412A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X</w:t>
            </w:r>
          </w:p>
        </w:tc>
      </w:tr>
      <w:tr w:rsidR="00262E43" w:rsidRPr="00F92636" w14:paraId="399D3071" w14:textId="77777777" w:rsidTr="00C05849">
        <w:trPr>
          <w:trHeight w:val="277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E22E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Krátkod</w:t>
            </w:r>
            <w:proofErr w:type="spellEnd"/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. </w:t>
            </w:r>
            <w:proofErr w:type="spellStart"/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Posk.zálohy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C96B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314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C505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120 850</w:t>
            </w: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1EAC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5566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120 850,-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E447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X</w:t>
            </w:r>
          </w:p>
        </w:tc>
      </w:tr>
      <w:tr w:rsidR="00262E43" w:rsidRPr="00F92636" w14:paraId="0234F0F8" w14:textId="77777777" w:rsidTr="00C05849">
        <w:trPr>
          <w:trHeight w:val="292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1ED0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Pohledávky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0181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315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99F1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4 279</w:t>
            </w: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,-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7191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984D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4 279</w:t>
            </w: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,-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8689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X</w:t>
            </w:r>
          </w:p>
        </w:tc>
      </w:tr>
      <w:tr w:rsidR="00262E43" w:rsidRPr="00F92636" w14:paraId="38F299F0" w14:textId="77777777" w:rsidTr="00C05849">
        <w:trPr>
          <w:trHeight w:val="277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FA3D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Dodavatelé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CD14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321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5DB8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125 255,-</w:t>
            </w: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3370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1021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125 255,-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7D8F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X</w:t>
            </w:r>
          </w:p>
        </w:tc>
      </w:tr>
      <w:tr w:rsidR="00262E43" w:rsidRPr="00F92636" w14:paraId="3BB9FE6E" w14:textId="77777777" w:rsidTr="00C05849">
        <w:trPr>
          <w:trHeight w:val="277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4E80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Zaměstnanci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54D3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331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F1B4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118 976</w:t>
            </w: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5211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418D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118 976</w:t>
            </w: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7CDE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X</w:t>
            </w:r>
          </w:p>
        </w:tc>
      </w:tr>
      <w:tr w:rsidR="00262E43" w:rsidRPr="00F92636" w14:paraId="378F2422" w14:textId="77777777" w:rsidTr="00C05849">
        <w:trPr>
          <w:trHeight w:val="277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A6A0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Zúčtování </w:t>
            </w:r>
            <w:proofErr w:type="spellStart"/>
            <w:proofErr w:type="gramStart"/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soc.pojišt</w:t>
            </w:r>
            <w:proofErr w:type="spellEnd"/>
            <w:proofErr w:type="gramEnd"/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366C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336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8F18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27 713</w:t>
            </w: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7EF5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64C7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27 713</w:t>
            </w: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1617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X</w:t>
            </w:r>
          </w:p>
        </w:tc>
      </w:tr>
      <w:tr w:rsidR="00262E43" w:rsidRPr="00F92636" w14:paraId="487B8CA5" w14:textId="77777777" w:rsidTr="00C05849">
        <w:trPr>
          <w:trHeight w:val="277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F389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gramStart"/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Zúčtování  </w:t>
            </w:r>
            <w:proofErr w:type="spellStart"/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zdrav</w:t>
            </w:r>
            <w:proofErr w:type="gramEnd"/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.pojit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97AD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337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9792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20 133</w:t>
            </w: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A012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98D2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20 133</w:t>
            </w: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98AA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X</w:t>
            </w:r>
          </w:p>
        </w:tc>
      </w:tr>
      <w:tr w:rsidR="00262E43" w:rsidRPr="00F92636" w14:paraId="54824CE1" w14:textId="77777777" w:rsidTr="00C05849">
        <w:trPr>
          <w:trHeight w:val="277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7C71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Jiné přímé daně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E779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342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E06E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7 245</w:t>
            </w: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9CC5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3656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17 245,-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7C59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X</w:t>
            </w:r>
          </w:p>
        </w:tc>
      </w:tr>
      <w:tr w:rsidR="00262E43" w:rsidRPr="00F92636" w14:paraId="7DD852DD" w14:textId="77777777" w:rsidTr="00C05849">
        <w:trPr>
          <w:trHeight w:val="277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38D2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Přijaté </w:t>
            </w:r>
            <w:proofErr w:type="spellStart"/>
            <w:proofErr w:type="gramStart"/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krátk.zálohy</w:t>
            </w:r>
            <w:proofErr w:type="spellEnd"/>
            <w:proofErr w:type="gram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850A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324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A5AD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gramStart"/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0,,</w:t>
            </w:r>
            <w:proofErr w:type="gramEnd"/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BDE9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41E0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0AFC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X</w:t>
            </w:r>
          </w:p>
        </w:tc>
      </w:tr>
      <w:tr w:rsidR="00262E43" w:rsidRPr="00F92636" w14:paraId="24A2BE80" w14:textId="77777777" w:rsidTr="00C05849">
        <w:trPr>
          <w:trHeight w:val="277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E902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Daň z příjmů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F455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341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0511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482 584</w:t>
            </w: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531D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55C7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482 584</w:t>
            </w: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8FC2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X</w:t>
            </w:r>
          </w:p>
        </w:tc>
      </w:tr>
      <w:tr w:rsidR="00262E43" w:rsidRPr="00F92636" w14:paraId="56571A07" w14:textId="77777777" w:rsidTr="00C05849">
        <w:trPr>
          <w:trHeight w:val="554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F0BF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Přijaté zálohy na transfery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845C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374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A760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700 000</w:t>
            </w: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,-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BB34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B5F9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700 000</w:t>
            </w: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,-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FA82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X</w:t>
            </w:r>
          </w:p>
        </w:tc>
      </w:tr>
      <w:tr w:rsidR="00262E43" w:rsidRPr="00F92636" w14:paraId="1795B8AA" w14:textId="77777777" w:rsidTr="00C05849">
        <w:trPr>
          <w:trHeight w:val="277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5F59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Závazky k </w:t>
            </w:r>
            <w:proofErr w:type="spellStart"/>
            <w:proofErr w:type="gramStart"/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os.mimo</w:t>
            </w:r>
            <w:proofErr w:type="spellEnd"/>
            <w:proofErr w:type="gramEnd"/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v.i</w:t>
            </w:r>
            <w:proofErr w:type="spellEnd"/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CD3E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345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C3A6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A886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E1C3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E1CF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X</w:t>
            </w:r>
          </w:p>
        </w:tc>
      </w:tr>
      <w:tr w:rsidR="00262E43" w:rsidRPr="00F92636" w14:paraId="1327E8F4" w14:textId="77777777" w:rsidTr="00C05849">
        <w:trPr>
          <w:trHeight w:val="277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0BFA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Závazky k vybr.m.vl.in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4D4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349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2F25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6818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4FC3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CD2B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X</w:t>
            </w:r>
          </w:p>
        </w:tc>
      </w:tr>
      <w:tr w:rsidR="00262E43" w:rsidRPr="00F92636" w14:paraId="2110D9B0" w14:textId="77777777" w:rsidTr="00C05849">
        <w:trPr>
          <w:trHeight w:val="277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95B4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Jmění účetní jednotky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1C04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401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A895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 325 432,26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41E2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4833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 325 432,26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C936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X</w:t>
            </w:r>
          </w:p>
        </w:tc>
      </w:tr>
      <w:tr w:rsidR="00262E43" w:rsidRPr="00F92636" w14:paraId="2C5F3489" w14:textId="77777777" w:rsidTr="00C05849">
        <w:trPr>
          <w:trHeight w:val="277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E9D7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Transfery na DM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99BA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403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2605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20 785 144</w:t>
            </w: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,-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8987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AF40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20 785 144</w:t>
            </w: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,-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EE5C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X</w:t>
            </w:r>
          </w:p>
        </w:tc>
      </w:tr>
      <w:tr w:rsidR="00262E43" w:rsidRPr="00F92636" w14:paraId="6D52CCE9" w14:textId="77777777" w:rsidTr="00C05849">
        <w:trPr>
          <w:trHeight w:val="570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41F0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Oceňovací rozdíly při prvotním ocenění met.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69AE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406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1BB8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9 782 746,97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1DB7" w14:textId="77777777" w:rsidR="00262E43" w:rsidRPr="00F92636" w:rsidRDefault="00262E43" w:rsidP="00C058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ADF9" w14:textId="77777777" w:rsidR="00262E43" w:rsidRPr="00F92636" w:rsidRDefault="00262E43" w:rsidP="00C058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9 782 746,97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2803" w14:textId="77777777" w:rsidR="00262E43" w:rsidRPr="00F92636" w:rsidRDefault="00262E43" w:rsidP="00C058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2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X</w:t>
            </w:r>
          </w:p>
        </w:tc>
      </w:tr>
    </w:tbl>
    <w:p w14:paraId="1C8BEDF9" w14:textId="77777777" w:rsidR="00262E43" w:rsidRPr="00F92636" w:rsidRDefault="00262E43" w:rsidP="00262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Opravy přechozích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úč.obd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>40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8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 xml:space="preserve">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282 597,-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 xml:space="preserve">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282 597,-</w:t>
      </w:r>
    </w:p>
    <w:p w14:paraId="3F352F84" w14:textId="77777777" w:rsidR="00262E43" w:rsidRPr="00F92636" w:rsidRDefault="00262E43" w:rsidP="00262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Dohadné účty aktivní          38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9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125 24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0,-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 xml:space="preserve">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125 240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,-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</w:p>
    <w:p w14:paraId="766CAE6C" w14:textId="77777777" w:rsidR="00262E43" w:rsidRPr="00F92636" w:rsidRDefault="00262E43" w:rsidP="00262E4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Čerpáno ze 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estavy Rozvaha za období 12/2025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426C4C69" w14:textId="77777777" w:rsidR="00262E43" w:rsidRPr="00F92636" w:rsidRDefault="00262E43" w:rsidP="00262E4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FBC36A1" w14:textId="77777777" w:rsidR="00262E43" w:rsidRPr="00F92636" w:rsidRDefault="00262E43" w:rsidP="00262E43">
      <w:pPr>
        <w:tabs>
          <w:tab w:val="num" w:pos="720"/>
        </w:tabs>
        <w:suppressAutoHyphens/>
        <w:spacing w:before="280" w:after="280" w:line="240" w:lineRule="auto"/>
        <w:ind w:left="30" w:hanging="72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  <w:t xml:space="preserve">          Hospodaření příspěvkové organizace Základní škola a Mateřská škola Václava Havla Žďárec</w:t>
      </w:r>
    </w:p>
    <w:p w14:paraId="02889A34" w14:textId="77777777" w:rsidR="00262E43" w:rsidRPr="00F92636" w:rsidRDefault="00262E43" w:rsidP="00262E43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Obec Žďárec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jako zřizovatel příspěvkové organizace </w:t>
      </w:r>
      <w:proofErr w:type="gramStart"/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Základní  škola</w:t>
      </w:r>
      <w:proofErr w:type="gramEnd"/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a Mateřská škola Václava Havla  Žďárec, okres  Brno – venkov ,594 56 Žďárec, poskytla na provoz ze svého rozpočtu částku  2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0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00 000,-Kč.  Příspěvková organizace v roce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5 ukončila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hospodaření 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e záporným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výsledkem 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ve</w:t>
      </w:r>
      <w:proofErr w:type="gramEnd"/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výši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mínus 18 001,- 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Kč.</w:t>
      </w:r>
    </w:p>
    <w:p w14:paraId="4D907CF4" w14:textId="77777777" w:rsidR="00262E43" w:rsidRPr="00F92636" w:rsidRDefault="00262E43" w:rsidP="00262E43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 xml:space="preserve"> </w:t>
      </w: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Zpráva o výsledku přezkoumání hospodaření obce za rok 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5</w:t>
      </w:r>
    </w:p>
    <w:p w14:paraId="3B168219" w14:textId="77777777" w:rsidR="00262E43" w:rsidRDefault="00262E43" w:rsidP="00262E4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F92636">
        <w:rPr>
          <w:rFonts w:ascii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Přezkoumání bylo provedeno na základě žádosti obce a v souladu se zákonem č. 420/2004 Sb. o přezkoumání hospodaření územně samosprávných celků a DSO pracovníky odboru kontroly Krajského úřadu JMK </w:t>
      </w:r>
      <w:proofErr w:type="gramStart"/>
      <w:r w:rsidRPr="00F92636">
        <w:rPr>
          <w:rFonts w:ascii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dne 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23</w:t>
      </w:r>
      <w:r w:rsidRPr="00F92636">
        <w:rPr>
          <w:rFonts w:ascii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.</w:t>
      </w:r>
      <w:proofErr w:type="gramEnd"/>
      <w:r w:rsidRPr="00F92636">
        <w:rPr>
          <w:rFonts w:ascii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2</w:t>
      </w:r>
      <w:r w:rsidRPr="00F92636">
        <w:rPr>
          <w:rFonts w:ascii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Pr="00F92636">
        <w:rPr>
          <w:rFonts w:ascii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202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6</w:t>
      </w:r>
      <w:r w:rsidRPr="00F92636">
        <w:rPr>
          <w:rFonts w:ascii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.</w:t>
      </w:r>
    </w:p>
    <w:p w14:paraId="6989C150" w14:textId="77777777" w:rsidR="00262E43" w:rsidRPr="00F92636" w:rsidRDefault="00262E43" w:rsidP="00262E4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eastAsia="cs-CZ"/>
          <w14:ligatures w14:val="none"/>
        </w:rPr>
      </w:pPr>
      <w:r w:rsidRPr="00F92636">
        <w:rPr>
          <w:rFonts w:ascii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br/>
      </w:r>
      <w:r w:rsidRPr="00F92636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:lang w:eastAsia="cs-CZ"/>
          <w14:ligatures w14:val="none"/>
        </w:rPr>
        <w:t xml:space="preserve">C. Závěr </w:t>
      </w:r>
    </w:p>
    <w:p w14:paraId="64C9F7CC" w14:textId="77777777" w:rsidR="00262E43" w:rsidRPr="00F92636" w:rsidRDefault="00262E43" w:rsidP="00262E43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:lang w:eastAsia="cs-CZ"/>
          <w14:ligatures w14:val="none"/>
        </w:rPr>
      </w:pPr>
      <w:r w:rsidRPr="00F92636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:lang w:eastAsia="cs-CZ"/>
          <w14:ligatures w14:val="none"/>
        </w:rPr>
        <w:t>I. Při přezkoumání hos</w:t>
      </w:r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:lang w:eastAsia="cs-CZ"/>
          <w14:ligatures w14:val="none"/>
        </w:rPr>
        <w:t xml:space="preserve">podaření obce Žďárec za rok 2025 </w:t>
      </w:r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:u w:val="single"/>
          <w:lang w:eastAsia="cs-CZ"/>
          <w14:ligatures w14:val="none"/>
        </w:rPr>
        <w:t>ne</w:t>
      </w:r>
      <w:r w:rsidRPr="00F92636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:u w:val="single"/>
          <w:lang w:eastAsia="cs-CZ"/>
          <w14:ligatures w14:val="none"/>
        </w:rPr>
        <w:t>byly zjištěny chyby a nedostatky</w:t>
      </w:r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:u w:val="single"/>
          <w:lang w:eastAsia="cs-CZ"/>
          <w14:ligatures w14:val="none"/>
        </w:rPr>
        <w:t>.</w:t>
      </w:r>
      <w:r w:rsidRPr="00F92636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</w:p>
    <w:p w14:paraId="33342FDE" w14:textId="77777777" w:rsidR="00262E43" w:rsidRPr="008B1003" w:rsidRDefault="00262E43" w:rsidP="00262E43">
      <w:pPr>
        <w:pStyle w:val="Odstavecseseznamem"/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8B100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II. Upozornění na případná rizika, </w:t>
      </w:r>
      <w:proofErr w:type="gramStart"/>
      <w:r w:rsidRPr="008B100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která  lze</w:t>
      </w:r>
      <w:proofErr w:type="gramEnd"/>
      <w:r w:rsidRPr="008B100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 dovodit ze zjištěných chyb a nedostatků, která mohou mít negativní dopad na hospodaření územního celku v budoucnu:</w:t>
      </w:r>
    </w:p>
    <w:p w14:paraId="741D1A8E" w14:textId="77777777" w:rsidR="00262E43" w:rsidRPr="008B1003" w:rsidRDefault="00262E43" w:rsidP="00262E43">
      <w:pPr>
        <w:pStyle w:val="Odstavecseseznamem"/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</w:p>
    <w:p w14:paraId="1B90C1A9" w14:textId="77777777" w:rsidR="00262E43" w:rsidRPr="00F92636" w:rsidRDefault="00262E43" w:rsidP="00262E4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Pr="00F92636">
        <w:rPr>
          <w:rFonts w:ascii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Při  přezkoumání</w:t>
      </w:r>
      <w:proofErr w:type="gramEnd"/>
      <w:r>
        <w:rPr>
          <w:rFonts w:ascii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hospodaření za rok 2025 nebyla ujištěna rizika, která by mohla mít negativní dopad na hospodaření územního celku v budoucnosti</w:t>
      </w:r>
      <w:r w:rsidRPr="00F92636">
        <w:rPr>
          <w:rFonts w:ascii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. </w:t>
      </w:r>
    </w:p>
    <w:p w14:paraId="1B621E7A" w14:textId="77777777" w:rsidR="00262E43" w:rsidRPr="00F92636" w:rsidRDefault="00262E43" w:rsidP="00262E43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cs-CZ"/>
          <w14:ligatures w14:val="none"/>
        </w:rPr>
      </w:pPr>
      <w:proofErr w:type="gramStart"/>
      <w:r w:rsidRPr="00F92636">
        <w:rPr>
          <w:rFonts w:ascii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( citace</w:t>
      </w:r>
      <w:proofErr w:type="gramEnd"/>
      <w:r w:rsidRPr="00F92636">
        <w:rPr>
          <w:rFonts w:ascii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ze </w:t>
      </w:r>
      <w:r w:rsidRPr="00F92636"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cs-CZ"/>
          <w14:ligatures w14:val="none"/>
        </w:rPr>
        <w:t>Zprávy o výsledku přezkoumání hospodaření za rok 202</w:t>
      </w:r>
      <w:r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cs-CZ"/>
          <w14:ligatures w14:val="none"/>
        </w:rPr>
        <w:t>5</w:t>
      </w:r>
      <w:r w:rsidRPr="00F92636"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cs-CZ"/>
          <w14:ligatures w14:val="none"/>
        </w:rPr>
        <w:t>)</w:t>
      </w:r>
    </w:p>
    <w:p w14:paraId="1E37FCFF" w14:textId="77777777" w:rsidR="00262E43" w:rsidRPr="00F92636" w:rsidRDefault="00262E43" w:rsidP="00262E4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eastAsia="cs-CZ"/>
          <w14:ligatures w14:val="none"/>
        </w:rPr>
      </w:pPr>
      <w:r w:rsidRPr="00F92636"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cs-CZ"/>
          <w14:ligatures w14:val="none"/>
        </w:rPr>
        <w:br/>
      </w:r>
    </w:p>
    <w:p w14:paraId="64F191D6" w14:textId="77777777" w:rsidR="00262E43" w:rsidRPr="00F92636" w:rsidRDefault="00262E43" w:rsidP="00262E4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eastAsia="cs-CZ"/>
          <w14:ligatures w14:val="none"/>
        </w:rPr>
      </w:pPr>
      <w:r w:rsidRPr="00F92636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:lang w:eastAsia="cs-CZ"/>
          <w14:ligatures w14:val="none"/>
        </w:rPr>
        <w:t xml:space="preserve">III. Poměrové ukazatele zjištěné při přezkoumání hospodaření: </w:t>
      </w:r>
    </w:p>
    <w:p w14:paraId="2274985C" w14:textId="77777777" w:rsidR="00262E43" w:rsidRPr="00F92636" w:rsidRDefault="00262E43" w:rsidP="00262E4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eastAsia="cs-CZ"/>
          <w14:ligatures w14:val="none"/>
        </w:rPr>
      </w:pPr>
      <w:r w:rsidRPr="00F92636">
        <w:rPr>
          <w:rFonts w:ascii="Times New Roman" w:hAnsi="Times New Roman" w:cs="Times New Roman"/>
          <w:color w:val="000000"/>
          <w:kern w:val="0"/>
          <w:sz w:val="23"/>
          <w:szCs w:val="23"/>
          <w:lang w:eastAsia="cs-CZ"/>
          <w14:ligatures w14:val="none"/>
        </w:rPr>
        <w:t>a) podíl pohledávek na rozpočtu územního celku .....................................</w:t>
      </w:r>
      <w:r>
        <w:rPr>
          <w:rFonts w:ascii="Times New Roman" w:hAnsi="Times New Roman" w:cs="Times New Roman"/>
          <w:color w:val="000000"/>
          <w:kern w:val="0"/>
          <w:sz w:val="23"/>
          <w:szCs w:val="23"/>
          <w:lang w:eastAsia="cs-CZ"/>
          <w14:ligatures w14:val="none"/>
        </w:rPr>
        <w:t>0,</w:t>
      </w:r>
      <w:proofErr w:type="gramStart"/>
      <w:r>
        <w:rPr>
          <w:rFonts w:ascii="Times New Roman" w:hAnsi="Times New Roman" w:cs="Times New Roman"/>
          <w:color w:val="000000"/>
          <w:kern w:val="0"/>
          <w:sz w:val="23"/>
          <w:szCs w:val="23"/>
          <w:lang w:eastAsia="cs-CZ"/>
          <w14:ligatures w14:val="none"/>
        </w:rPr>
        <w:t>81</w:t>
      </w:r>
      <w:r w:rsidRPr="00F92636">
        <w:rPr>
          <w:rFonts w:ascii="Times New Roman" w:hAnsi="Times New Roman" w:cs="Times New Roman"/>
          <w:color w:val="000000"/>
          <w:kern w:val="0"/>
          <w:sz w:val="23"/>
          <w:szCs w:val="23"/>
          <w:lang w:eastAsia="cs-CZ"/>
          <w14:ligatures w14:val="none"/>
        </w:rPr>
        <w:t xml:space="preserve">  %</w:t>
      </w:r>
      <w:proofErr w:type="gramEnd"/>
      <w:r w:rsidRPr="00F92636">
        <w:rPr>
          <w:rFonts w:ascii="Times New Roman" w:hAnsi="Times New Roman" w:cs="Times New Roman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</w:p>
    <w:p w14:paraId="6E05BE30" w14:textId="77777777" w:rsidR="00262E43" w:rsidRPr="00F92636" w:rsidRDefault="00262E43" w:rsidP="00262E4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eastAsia="cs-CZ"/>
          <w14:ligatures w14:val="none"/>
        </w:rPr>
      </w:pPr>
      <w:r w:rsidRPr="00F92636">
        <w:rPr>
          <w:rFonts w:ascii="Times New Roman" w:hAnsi="Times New Roman" w:cs="Times New Roman"/>
          <w:color w:val="000000"/>
          <w:kern w:val="0"/>
          <w:sz w:val="23"/>
          <w:szCs w:val="23"/>
          <w:lang w:eastAsia="cs-CZ"/>
          <w14:ligatures w14:val="none"/>
        </w:rPr>
        <w:t>b) podíl závazků na rozpočtu územního celku ..........................................</w:t>
      </w:r>
      <w:r>
        <w:rPr>
          <w:rFonts w:ascii="Times New Roman" w:hAnsi="Times New Roman" w:cs="Times New Roman"/>
          <w:color w:val="000000"/>
          <w:kern w:val="0"/>
          <w:sz w:val="23"/>
          <w:szCs w:val="23"/>
          <w:lang w:eastAsia="cs-CZ"/>
          <w14:ligatures w14:val="none"/>
        </w:rPr>
        <w:t>2,98</w:t>
      </w:r>
      <w:r w:rsidRPr="00F92636">
        <w:rPr>
          <w:rFonts w:ascii="Times New Roman" w:hAnsi="Times New Roman" w:cs="Times New Roman"/>
          <w:color w:val="000000"/>
          <w:kern w:val="0"/>
          <w:sz w:val="23"/>
          <w:szCs w:val="23"/>
          <w:lang w:eastAsia="cs-CZ"/>
          <w14:ligatures w14:val="none"/>
        </w:rPr>
        <w:t xml:space="preserve"> % </w:t>
      </w:r>
    </w:p>
    <w:p w14:paraId="6D5E1D30" w14:textId="77777777" w:rsidR="00262E43" w:rsidRPr="00F92636" w:rsidRDefault="00262E43" w:rsidP="00262E4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c) podíl zastaveného majetku na celkovém majetku územního celku ............ 0 %</w:t>
      </w:r>
    </w:p>
    <w:p w14:paraId="4E92AE0D" w14:textId="77777777" w:rsidR="00262E43" w:rsidRPr="00F92636" w:rsidRDefault="00262E43" w:rsidP="00262E4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</w:p>
    <w:p w14:paraId="6C2C0D0D" w14:textId="77777777" w:rsidR="00262E43" w:rsidRDefault="00262E43" w:rsidP="00262E4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  <w:proofErr w:type="spellStart"/>
      <w:r w:rsidRPr="00F92636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  <w:t>IV.Ověření</w:t>
      </w:r>
      <w:proofErr w:type="spellEnd"/>
      <w:r w:rsidRPr="00F92636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  <w:t xml:space="preserve"> poměru dluhu územního celku k průměru jeho příjmů za poslední 4 rozpočtové roky podle právního předpisu upravujícího rozpočtovou odpovědnost:</w:t>
      </w:r>
    </w:p>
    <w:p w14:paraId="70FD8DE0" w14:textId="77777777" w:rsidR="00262E43" w:rsidRPr="00F92636" w:rsidRDefault="00262E43" w:rsidP="00262E4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4A38C8C7" w14:textId="77777777" w:rsidR="00262E43" w:rsidRPr="00F92636" w:rsidRDefault="00262E43" w:rsidP="00262E4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Dluh obce Žďárec k 31.12.202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5</w:t>
      </w:r>
      <w:r w:rsidRPr="00F92636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 nepřekročil 60 % průměru příjmů za poslední 4 rozpočtované roky.</w:t>
      </w:r>
    </w:p>
    <w:p w14:paraId="7F7B649D" w14:textId="77777777" w:rsidR="00262E43" w:rsidRPr="00F92636" w:rsidRDefault="00262E43" w:rsidP="00262E43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Obec Žďárec nemá k </w:t>
      </w:r>
      <w:proofErr w:type="gramStart"/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31.12.202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5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žádný</w:t>
      </w:r>
      <w:proofErr w:type="gramEnd"/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úvěr, půjčku ani návratnou finanční výpomoc.    </w:t>
      </w:r>
    </w:p>
    <w:p w14:paraId="3BCFD193" w14:textId="77777777" w:rsidR="00262E43" w:rsidRPr="00F92636" w:rsidRDefault="00262E43" w:rsidP="00262E43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V kanceláři OÚ jsou po dobu vyvěšení návrhu Závěrečného účtu k nahlédnutí všechny výkazy obce i školy za rok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5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.                           </w:t>
      </w:r>
    </w:p>
    <w:p w14:paraId="2EA7B5AB" w14:textId="77777777" w:rsidR="00262E43" w:rsidRPr="00F92636" w:rsidRDefault="00262E43" w:rsidP="00262E43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Připomínky k návrhu závěrečného účtu mohou občané uplatnit písemně ve lhůtě stanovené dnem vyvěšení nebo ústně na zasedání Zastupitelstva obce.</w:t>
      </w:r>
    </w:p>
    <w:p w14:paraId="72F11C9D" w14:textId="09130229" w:rsidR="00262E43" w:rsidRPr="00F92636" w:rsidRDefault="00262E43" w:rsidP="00262E4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Zastupitelstvo obce na svém 22. veřejném zasedání konaném dne 30.3.2026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schválilo  tento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  Závěrečný úč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et</w:t>
      </w:r>
      <w:r w:rsidRPr="00F926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 obce  Žďárec za rok  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5</w:t>
      </w:r>
    </w:p>
    <w:p w14:paraId="26E3956B" w14:textId="77777777" w:rsidR="00262E43" w:rsidRDefault="00262E43" w:rsidP="00262E43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3E7F062" w14:textId="77777777" w:rsidR="00262E43" w:rsidRDefault="00262E43" w:rsidP="00262E43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Vypracovala: Ilona </w:t>
      </w:r>
      <w:proofErr w:type="spellStart"/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Midrlová</w:t>
      </w:r>
      <w:proofErr w:type="spellEnd"/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 xml:space="preserve">Schválil: Jindřich </w:t>
      </w:r>
      <w:proofErr w:type="spellStart"/>
      <w:proofErr w:type="gramStart"/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Mühlhansl</w:t>
      </w:r>
      <w:proofErr w:type="spellEnd"/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,</w:t>
      </w:r>
      <w:proofErr w:type="gramEnd"/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starosta  </w:t>
      </w:r>
    </w:p>
    <w:p w14:paraId="7E669268" w14:textId="77777777" w:rsidR="00262E43" w:rsidRPr="00F92636" w:rsidRDefault="00262E43" w:rsidP="00262E43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3FD9027" w14:textId="77777777" w:rsidR="00262E43" w:rsidRDefault="00262E43" w:rsidP="00262E43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Návrh ZÚ zveřejněn na úřední i elektronické desce: od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13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3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6</w:t>
      </w:r>
      <w:r w:rsidRPr="00F926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do 30. 6.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6</w:t>
      </w:r>
    </w:p>
    <w:p w14:paraId="64CE8825" w14:textId="14ECDDDE" w:rsidR="00262E43" w:rsidRDefault="00262E43" w:rsidP="00262E43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Závěrečný účet zveřejněn na úřední i elektronické desce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od  7.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4 .2026  do 30. 6. 2027</w:t>
      </w:r>
    </w:p>
    <w:p w14:paraId="66E87096" w14:textId="77777777" w:rsidR="001E7229" w:rsidRDefault="001E7229"/>
    <w:sectPr w:rsidR="001E7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1" w15:restartNumberingAfterBreak="0">
    <w:nsid w:val="2B3F54E4"/>
    <w:multiLevelType w:val="hybridMultilevel"/>
    <w:tmpl w:val="FA3E9E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3E4E7E"/>
    <w:multiLevelType w:val="hybridMultilevel"/>
    <w:tmpl w:val="A6DCCE5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398430">
    <w:abstractNumId w:val="0"/>
  </w:num>
  <w:num w:numId="2" w16cid:durableId="130269060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3730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E43"/>
    <w:rsid w:val="001E7229"/>
    <w:rsid w:val="00262E43"/>
    <w:rsid w:val="00826187"/>
    <w:rsid w:val="00964AF0"/>
    <w:rsid w:val="00C13747"/>
    <w:rsid w:val="00CD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01D3A"/>
  <w15:chartTrackingRefBased/>
  <w15:docId w15:val="{736187B3-71E1-432D-B27C-2B010986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2E43"/>
    <w:pPr>
      <w:spacing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2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ec-zdarec.cz" TargetMode="External"/><Relationship Id="rId5" Type="http://schemas.openxmlformats.org/officeDocument/2006/relationships/hyperlink" Target="mailto:info@obec-zdarec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1496</Words>
  <Characters>8828</Characters>
  <Application>Microsoft Office Word</Application>
  <DocSecurity>0</DocSecurity>
  <Lines>73</Lines>
  <Paragraphs>20</Paragraphs>
  <ScaleCrop>false</ScaleCrop>
  <Company/>
  <LinksUpToDate>false</LinksUpToDate>
  <CharactersWithSpaces>10304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Žďárec Obec Žďárec</dc:creator>
  <cp:keywords/>
  <dc:description/>
  <cp:lastModifiedBy>Obec Žďárec Obec Žďárec</cp:lastModifiedBy>
  <cp:revision>1</cp:revision>
  <dcterms:created xsi:type="dcterms:W3CDTF">2026-03-31T06:59:00Z</dcterms:created>
  <dcterms:modified xsi:type="dcterms:W3CDTF">2026-03-31T07:08:00Z</dcterms:modified>
</cp:coreProperties>
</file>